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20" w:leftChars="0" w:hanging="1120" w:hangingChars="350"/>
        <w:jc w:val="center"/>
        <w:textAlignment w:val="auto"/>
        <w:rPr>
          <w:rFonts w:hint="default" w:ascii="Arial" w:hAnsi="Arial" w:eastAsia="微软雅黑" w:cs="Arial"/>
          <w:sz w:val="32"/>
          <w:szCs w:val="32"/>
          <w:vertAlign w:val="baseline"/>
        </w:rPr>
      </w:pPr>
      <w:r>
        <w:rPr>
          <w:rFonts w:hint="default" w:ascii="Arial" w:hAnsi="Arial" w:eastAsia="微软雅黑" w:cs="Arial"/>
          <w:sz w:val="32"/>
          <w:szCs w:val="32"/>
          <w:vertAlign w:val="baseline"/>
        </w:rPr>
        <w:t>Online mini-workshop series on</w:t>
      </w:r>
      <w:r>
        <w:rPr>
          <w:rFonts w:hint="eastAsia" w:ascii="Arial" w:hAnsi="Arial" w:eastAsia="微软雅黑" w:cs="Arial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32"/>
          <w:szCs w:val="32"/>
          <w:vertAlign w:val="baseline"/>
        </w:rPr>
        <w:t>the geometric realization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20" w:leftChars="0" w:hanging="1120" w:hangingChars="350"/>
        <w:jc w:val="center"/>
        <w:textAlignment w:val="auto"/>
        <w:rPr>
          <w:rFonts w:hint="default" w:ascii="Arial" w:hAnsi="Arial" w:eastAsia="微软雅黑" w:cs="Arial"/>
          <w:sz w:val="32"/>
          <w:szCs w:val="32"/>
          <w:vertAlign w:val="baseline"/>
        </w:rPr>
      </w:pPr>
      <w:r>
        <w:rPr>
          <w:rFonts w:hint="default" w:ascii="Arial" w:hAnsi="Arial" w:eastAsia="微软雅黑" w:cs="Arial"/>
          <w:sz w:val="32"/>
          <w:szCs w:val="32"/>
          <w:vertAlign w:val="baseline"/>
        </w:rPr>
        <w:t xml:space="preserve">of </w:t>
      </w:r>
      <w:r>
        <w:rPr>
          <w:rFonts w:hint="default" w:ascii="Arial" w:hAnsi="Arial" w:eastAsia="微软雅黑" w:cs="Arial"/>
          <w:i/>
          <w:iCs/>
          <w:sz w:val="32"/>
          <w:szCs w:val="32"/>
          <w:vertAlign w:val="baseline"/>
        </w:rPr>
        <w:t>p</w:t>
      </w:r>
      <w:r>
        <w:rPr>
          <w:rFonts w:hint="default" w:ascii="Arial" w:hAnsi="Arial" w:eastAsia="微软雅黑" w:cs="Arial"/>
          <w:sz w:val="32"/>
          <w:szCs w:val="32"/>
          <w:vertAlign w:val="baseline"/>
        </w:rPr>
        <w:t>-adic local Langlands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>Organizers: Yiwen Ding, Yongquan Hu, and Liang Xiao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>This mini-workshop series on p-adic local Langlands mainly focuses on the series works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 xml:space="preserve">of Colmez{Dospenescu{Niziol on the 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é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tale cohomology of Drinfeld towers and p-adic period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domains. This has deep relation to the p-adic local Langlands correspondence.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We meet twice a week for two 90-minutes lectures each day.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color w:val="0000FF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FF"/>
          <w:kern w:val="0"/>
          <w:sz w:val="36"/>
          <w:szCs w:val="36"/>
          <w:lang w:val="en-US" w:eastAsia="zh-CN" w:bidi="ar"/>
        </w:rPr>
        <w:t>Workshop Schedule: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color w:val="0000FF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905"/>
        <w:gridCol w:w="771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微软雅黑" w:cs="Arial"/>
                <w:color w:val="000000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2"/>
                <w:sz w:val="21"/>
                <w:vertAlign w:val="baseline"/>
                <w:lang w:val="en-US" w:eastAsia="zh-CN"/>
              </w:rPr>
              <w:t>Time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微软雅黑" w:cs="Arial"/>
                <w:color w:val="000000"/>
                <w:kern w:val="2"/>
                <w:sz w:val="21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</w:rPr>
              <w:t>Speaker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2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2"/>
              </w:rPr>
              <w:t>Content</w:t>
            </w:r>
          </w:p>
        </w:tc>
        <w:tc>
          <w:tcPr>
            <w:tcW w:w="2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2"/>
                <w:lang w:val="en-US" w:eastAsia="zh-CN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7/29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2:30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Liang Xiao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Talk 1: Summarize the main results.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b w:val="0"/>
                <w:bCs w:val="0"/>
                <w:color w:val="000000"/>
                <w:vertAlign w:val="baseline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Summarize the main results of Colmez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Dospinescu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Niziol's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series of papers [CDN1,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CDN2, CDN3, CDHN]. Discuss the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main techniques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involved in each of the paper and improve-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ments/adaptability along the development of these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papers.</w:t>
            </w:r>
          </w:p>
        </w:tc>
        <w:tc>
          <w:tcPr>
            <w:tcW w:w="2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ID:466 356 2952</w:t>
            </w:r>
          </w:p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Password:mcm0729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7/29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5:30pm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Liang Xiao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Talk 2: Summarize [CDN1]. Since we have already learned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studied this paper before, we give a quick summary of the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content as well as the proof of involved in this paper.</w:t>
            </w:r>
          </w:p>
        </w:tc>
        <w:tc>
          <w:tcPr>
            <w:tcW w:w="2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7/31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2:30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Ruochuan Liu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Talk 3: Syntomic cohomology I. Following [CDN2, §3] to</w:t>
            </w:r>
            <w:r>
              <w:rPr>
                <w:rFonts w:hint="eastAsia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discuss syntomic cohomology (which is not too much dierent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4"/>
                <w:szCs w:val="24"/>
                <w:vertAlign w:val="baseline"/>
              </w:rPr>
              <w:t>from usual rigid cohomology)</w:t>
            </w:r>
          </w:p>
        </w:tc>
        <w:tc>
          <w:tcPr>
            <w:tcW w:w="2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ID:466 356 2952</w:t>
            </w:r>
          </w:p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Password:mcm0731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7/31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5:30pm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Yichao Tian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Talk 4: Syntomic cohomology II. Cover [CDN2, §4].</w:t>
            </w:r>
          </w:p>
        </w:tc>
        <w:tc>
          <w:tcPr>
            <w:tcW w:w="2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2:30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Haoran Wang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Talk 5: Pro-étale cohomology of Drinfeld half-space.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Following [CDN2, §5] to compute the pro-étale cohomology of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Drinfeld half-space.</w:t>
            </w:r>
          </w:p>
        </w:tc>
        <w:tc>
          <w:tcPr>
            <w:tcW w:w="2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ID:466 356 2952</w:t>
            </w:r>
          </w:p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Password:mcm0805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5:30pm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Aditya Karnataki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 xml:space="preserve">Talk 6: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Étale 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cohomology of Drinfeld half-space. Following [CDN2, §6,7] to compute the étale cohomology of Drin-feld half-space.</w:t>
            </w:r>
          </w:p>
        </w:tc>
        <w:tc>
          <w:tcPr>
            <w:tcW w:w="2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2:30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Longke Tang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 xml:space="preserve">Talk 7: Quick summary of </w:t>
            </w:r>
            <m:oMath>
              <m:sSub>
                <m:sSubPr>
                  <m:ctrlPr>
                    <w:rPr>
                      <w:rFonts w:hint="default" w:ascii="Cambria Math" w:hAnsi="Cambria Math" w:eastAsia="微软雅黑" w:cs="Arial"/>
                      <w:color w:val="000000"/>
                      <w:sz w:val="24"/>
                      <w:szCs w:val="24"/>
                      <w:vertAlign w:val="baseline"/>
                    </w:rPr>
                  </m:ctrlPr>
                </m:sSubPr>
                <m:e>
                  <m:r>
                    <m:rPr>
                      <m:sty m:val="p"/>
                      <m:scr m:val="double-struck"/>
                    </m:rPr>
                    <w:rPr>
                      <w:rFonts w:hint="default" w:ascii="Cambria Math" w:hAnsi="Cambria Math" w:eastAsia="MS Mincho" w:cs="MS Mincho"/>
                      <w:color w:val="000000"/>
                      <w:sz w:val="24"/>
                      <w:szCs w:val="24"/>
                      <w:vertAlign w:val="baseline"/>
                    </w:rPr>
                    <m:t>A</m:t>
                  </m:r>
                  <m:ctrlPr>
                    <w:rPr>
                      <w:rFonts w:hint="default" w:ascii="Cambria Math" w:hAnsi="Cambria Math" w:eastAsia="微软雅黑" w:cs="Arial"/>
                      <w:color w:val="000000"/>
                      <w:sz w:val="24"/>
                      <w:szCs w:val="24"/>
                      <w:vertAlign w:val="baseline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微软雅黑" w:cs="Arial"/>
                      <w:color w:val="000000"/>
                      <w:sz w:val="24"/>
                      <w:szCs w:val="24"/>
                      <w:vertAlign w:val="baseline"/>
                    </w:rPr>
                    <m:t>inf</m:t>
                  </m:r>
                  <m:ctrlPr>
                    <w:rPr>
                      <w:rFonts w:hint="default" w:ascii="Cambria Math" w:hAnsi="Cambria Math" w:eastAsia="微软雅黑" w:cs="Arial"/>
                      <w:color w:val="000000"/>
                      <w:sz w:val="24"/>
                      <w:szCs w:val="24"/>
                      <w:vertAlign w:val="baseline"/>
                    </w:rPr>
                  </m:ctrlPr>
                </m:sub>
              </m:sSub>
            </m:oMath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-cohomology of Bhatt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Morrow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Scholze Cover [CDN3, §2,3], give an introduction to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Ainf-cohomology.</w:t>
            </w:r>
          </w:p>
        </w:tc>
        <w:tc>
          <w:tcPr>
            <w:tcW w:w="2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ID:466 356 2952</w:t>
            </w:r>
          </w:p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Password:mcm0807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5:30pm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Hui Gao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Talk 8: Ainf-cohomology of Drinfeld symmetric spaces.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Cover [CDN3, §4,5].</w:t>
            </w:r>
          </w:p>
        </w:tc>
        <w:tc>
          <w:tcPr>
            <w:tcW w:w="2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2:30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Yiwen Ding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Talk 9: Representation theoretic background for generalized Steinberg representations Cover [CDHN, §2]</w:t>
            </w:r>
          </w:p>
        </w:tc>
        <w:tc>
          <w:tcPr>
            <w:tcW w:w="2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ID:466 356 2952</w:t>
            </w:r>
          </w:p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Password:mcm0812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5:30pm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Xu Shen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 xml:space="preserve">Talk 10: </w:t>
            </w:r>
            <w:r>
              <w:rPr>
                <w:rFonts w:hint="default" w:ascii="Arial" w:hAnsi="Arial" w:eastAsia="微软雅黑" w:cs="Arial"/>
                <w:i/>
                <w:iCs/>
                <w:color w:val="000000"/>
                <w:sz w:val="24"/>
                <w:szCs w:val="24"/>
                <w:vertAlign w:val="baseline"/>
              </w:rPr>
              <w:t>p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-adic period domains. Cover [CDHN, §3,4].</w:t>
            </w:r>
          </w:p>
        </w:tc>
        <w:tc>
          <w:tcPr>
            <w:tcW w:w="2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2:30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Liang Xiao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Talk 11: Geometry of the complements of period domains Cover [CDHN, §5 and Appendix]</w:t>
            </w:r>
          </w:p>
        </w:tc>
        <w:tc>
          <w:tcPr>
            <w:tcW w:w="2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ID:466 356 2952</w:t>
            </w:r>
          </w:p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vertAlign w:val="baseline"/>
                <w:lang w:val="en-US"/>
              </w:rPr>
            </w:pP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Password:mcm0814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8/14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4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5:30pm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Gabriel Dospinescu</w:t>
            </w:r>
          </w:p>
        </w:tc>
        <w:tc>
          <w:tcPr>
            <w:tcW w:w="7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Talk 12: Main results on the p-adic étale cohomology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 w:cs="Arial"/>
                <w:color w:val="000000"/>
                <w:sz w:val="24"/>
                <w:szCs w:val="24"/>
                <w:vertAlign w:val="baseline"/>
              </w:rPr>
              <w:t>of period domains. Cover [CDHN, §6].</w:t>
            </w:r>
          </w:p>
        </w:tc>
        <w:tc>
          <w:tcPr>
            <w:tcW w:w="2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jc w:val="left"/>
              <w:rPr>
                <w:rFonts w:hint="default" w:ascii="Arial" w:hAnsi="Arial" w:eastAsia="微软雅黑" w:cs="Arial"/>
                <w:color w:val="000000"/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>References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 xml:space="preserve">[CDN1] P. Colmez, G. Dospinescu, and W. Niziol, Cohomologie </w:t>
      </w:r>
      <w:r>
        <w:rPr>
          <w:rFonts w:hint="default" w:ascii="Arial" w:hAnsi="Arial" w:eastAsia="微软雅黑" w:cs="Arial"/>
          <w:i/>
          <w:iCs/>
          <w:sz w:val="24"/>
          <w:szCs w:val="24"/>
          <w:vertAlign w:val="baseline"/>
        </w:rPr>
        <w:t>p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-adique de la to</w:t>
      </w:r>
      <w:bookmarkStart w:id="0" w:name="_GoBack"/>
      <w:bookmarkEnd w:id="0"/>
      <w:r>
        <w:rPr>
          <w:rFonts w:hint="default" w:ascii="Arial" w:hAnsi="Arial" w:eastAsia="微软雅黑" w:cs="Arial"/>
          <w:sz w:val="24"/>
          <w:szCs w:val="24"/>
          <w:vertAlign w:val="baseline"/>
        </w:rPr>
        <w:t>ur de Drinfeld: le cas de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la dimension 1, J. AMS 33 (2020), 311|362.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 xml:space="preserve">[CDN2] P. Colmez, G. Dospinescu, and W. Niziol, Cohomology of </w:t>
      </w:r>
      <w:r>
        <w:rPr>
          <w:rFonts w:hint="default" w:ascii="Arial" w:hAnsi="Arial" w:eastAsia="微软雅黑" w:cs="Arial"/>
          <w:i/>
          <w:iCs/>
          <w:sz w:val="24"/>
          <w:szCs w:val="24"/>
          <w:vertAlign w:val="baseline"/>
        </w:rPr>
        <w:t>p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-adic Stein spaces, Invent. Math. 219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(2020), 873|985.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default" w:ascii="Arial" w:hAnsi="Arial" w:eastAsia="微软雅黑" w:cs="Arial"/>
          <w:sz w:val="24"/>
          <w:szCs w:val="24"/>
          <w:vertAlign w:val="baseline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 xml:space="preserve">[CDN3] P. Colmez, G. Dospinescu, and W. Niziol, Integral </w:t>
      </w:r>
      <w:r>
        <w:rPr>
          <w:rFonts w:hint="default" w:ascii="Arial" w:hAnsi="Arial" w:eastAsia="微软雅黑" w:cs="Arial"/>
          <w:i/>
          <w:iCs/>
          <w:sz w:val="24"/>
          <w:szCs w:val="24"/>
          <w:vertAlign w:val="baseline"/>
        </w:rPr>
        <w:t>p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-adic étale cohomology of Drinfeld symmetric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spaces, arXiv:1905.11495.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leftChars="0" w:hanging="840" w:hangingChars="35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vertAlign w:val="baseline"/>
        </w:rPr>
        <w:t xml:space="preserve">[CDHN] P. Colmez, G. Dospinescu, J. Hauseux, and W. Niziol, </w:t>
      </w:r>
      <w:r>
        <w:rPr>
          <w:rFonts w:hint="default" w:ascii="Arial" w:hAnsi="Arial" w:eastAsia="微软雅黑" w:cs="Arial"/>
          <w:i/>
          <w:iCs/>
          <w:sz w:val="24"/>
          <w:szCs w:val="24"/>
          <w:vertAlign w:val="baseline"/>
        </w:rPr>
        <w:t>p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-adic etale cohomology of period domains,</w:t>
      </w:r>
      <w:r>
        <w:rPr>
          <w:rFonts w:hint="eastAsia" w:ascii="Arial" w:hAnsi="Arial" w:eastAsia="微软雅黑" w:cs="Arial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vertAlign w:val="baseline"/>
        </w:rPr>
        <w:t>arXiv:2001.06809.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6C1813"/>
    <w:rsid w:val="08ED3DFE"/>
    <w:rsid w:val="144414F0"/>
    <w:rsid w:val="2F9C2545"/>
    <w:rsid w:val="373B61FD"/>
    <w:rsid w:val="4005326F"/>
    <w:rsid w:val="41344B98"/>
    <w:rsid w:val="607176B3"/>
    <w:rsid w:val="60CB007F"/>
    <w:rsid w:val="70DD5CF6"/>
    <w:rsid w:val="70F60863"/>
    <w:rsid w:val="71BA12DF"/>
    <w:rsid w:val="7D1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es-nav-prev"/>
    <w:basedOn w:val="4"/>
    <w:uiPriority w:val="0"/>
  </w:style>
  <w:style w:type="character" w:customStyle="1" w:styleId="9">
    <w:name w:val="es-nav-n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2020-07-27T02:56:00Z</dcterms:created>
  <dc:creator>hp</dc:creator>
  <cp:lastModifiedBy>unknown</cp:lastModifiedBy>
  <dcterms:modified xsi:type="dcterms:W3CDTF">2020-07-29T06:12:19Z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